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3" w:rsidRDefault="00B751DD">
      <w:pPr>
        <w:pStyle w:val="Body"/>
        <w:jc w:val="center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>T</w:t>
      </w:r>
      <w:r>
        <w:rPr>
          <w:rFonts w:ascii="Arial" w:hAnsi="Arial"/>
          <w:b/>
          <w:bCs/>
          <w:sz w:val="20"/>
          <w:szCs w:val="20"/>
        </w:rPr>
        <w:t>é</w:t>
      </w:r>
      <w:r>
        <w:rPr>
          <w:rFonts w:ascii="Arial" w:hAnsi="Arial"/>
          <w:b/>
          <w:bCs/>
          <w:sz w:val="20"/>
          <w:szCs w:val="20"/>
        </w:rPr>
        <w:t>rminos de Referencia</w:t>
      </w:r>
    </w:p>
    <w:p w:rsidR="007664C3" w:rsidRDefault="00B751DD">
      <w:pPr>
        <w:pStyle w:val="Body"/>
        <w:jc w:val="center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>Consultor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a para la evaluaci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n del Impacto Ambiental y Social del proyecto de control </w:t>
      </w:r>
      <w:r>
        <w:rPr>
          <w:rFonts w:ascii="Arial" w:hAnsi="Arial"/>
          <w:b/>
          <w:bCs/>
          <w:sz w:val="20"/>
          <w:szCs w:val="20"/>
        </w:rPr>
        <w:t>“</w:t>
      </w:r>
      <w:r>
        <w:rPr>
          <w:rFonts w:ascii="Arial" w:hAnsi="Arial"/>
          <w:b/>
          <w:bCs/>
          <w:sz w:val="20"/>
          <w:szCs w:val="20"/>
        </w:rPr>
        <w:t>Fortalecimiento de las Capacidades en Biotecnolog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a para la Erradicaci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n del Gusano Barrenador del Ganado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7664C3" w:rsidRDefault="007664C3">
      <w:pPr>
        <w:pStyle w:val="Body"/>
      </w:pPr>
      <w:bookmarkStart w:id="0" w:name="_Hlk497833116"/>
      <w:bookmarkEnd w:id="0"/>
    </w:p>
    <w:p w:rsidR="007664C3" w:rsidRDefault="00B751DD">
      <w:pPr>
        <w:pStyle w:val="Body"/>
        <w:jc w:val="both"/>
        <w:rPr>
          <w:rStyle w:val="NoneA"/>
        </w:rPr>
      </w:pPr>
      <w:r>
        <w:rPr>
          <w:rFonts w:ascii="Arial" w:hAnsi="Arial"/>
          <w:sz w:val="20"/>
          <w:szCs w:val="20"/>
        </w:rPr>
        <w:t>La Unidad Mixta del Institut Pasteur</w:t>
      </w:r>
      <w:r>
        <w:rPr>
          <w:rFonts w:ascii="Arial" w:hAnsi="Arial"/>
          <w:sz w:val="20"/>
          <w:szCs w:val="20"/>
        </w:rPr>
        <w:t xml:space="preserve"> de Montevideo (UMPI) y el Instituto Nacional de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Agropecuaria (INIA) invita a presentar expresi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de inter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 de servicios de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para la evaluaci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n del Impacto Ambiental y Social del proyecto de control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Fortalecimiento de las Capacid</w:t>
      </w:r>
      <w:r>
        <w:rPr>
          <w:rFonts w:ascii="Arial" w:hAnsi="Arial"/>
          <w:sz w:val="20"/>
          <w:szCs w:val="20"/>
        </w:rPr>
        <w:t>ades en Biotecnolog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para Erradicaci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n del Gusano Barrenador del Ganado, financiado por el Banco Interamericano de Desarrollo (BID). </w:t>
      </w:r>
    </w:p>
    <w:p w:rsidR="007664C3" w:rsidRDefault="00B751DD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Unidad Mixta del Institut Pasteur de Montevideo (IP Montevideo) y el Instituto Nacional de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n Agropecuaria </w:t>
      </w:r>
      <w:r>
        <w:rPr>
          <w:rFonts w:ascii="Arial" w:hAnsi="Arial"/>
          <w:sz w:val="20"/>
          <w:szCs w:val="20"/>
        </w:rPr>
        <w:t xml:space="preserve">(INIA) tiene como objetivo potenciar y aportar valor agregado al conocimiento, conjugando las 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reas de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de ambas instituciones. Asimismo, busca aportar soluciones al sector agropecuario con tecnolog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as desarrolladas a partir de enfoques multid</w:t>
      </w:r>
      <w:r>
        <w:rPr>
          <w:rFonts w:ascii="Arial" w:hAnsi="Arial"/>
          <w:sz w:val="20"/>
          <w:szCs w:val="20"/>
        </w:rPr>
        <w:t>isciplinarios, en ganader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a, salud animal, microbiolog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a, bioinform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tica, gen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tica molecular y generaci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n de </w:t>
      </w:r>
      <w:proofErr w:type="spellStart"/>
      <w:r>
        <w:rPr>
          <w:rFonts w:ascii="Arial" w:hAnsi="Arial"/>
          <w:sz w:val="20"/>
          <w:szCs w:val="20"/>
        </w:rPr>
        <w:t>bioinsumos</w:t>
      </w:r>
      <w:proofErr w:type="spellEnd"/>
      <w:r>
        <w:rPr>
          <w:rFonts w:ascii="Arial" w:hAnsi="Arial"/>
          <w:sz w:val="20"/>
          <w:szCs w:val="20"/>
        </w:rPr>
        <w:t>. Desde su creaci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n, esta iniciativa se propone ejecutar en conjunto proyectos de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n, formar recursos humanos y crear redes as</w:t>
      </w:r>
      <w:r>
        <w:rPr>
          <w:rFonts w:ascii="Arial" w:hAnsi="Arial"/>
          <w:sz w:val="20"/>
          <w:szCs w:val="20"/>
        </w:rPr>
        <w:t xml:space="preserve">ociativas en 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reas de mutuo inter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s, atendiendo las necesidades del sector agropecuario y acordando las bases para la implementaci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de laboratorios espec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ficos en Montevideo e INIA. Como plataforma abierta, la unidad est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a disposici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n de </w:t>
      </w:r>
      <w:r>
        <w:rPr>
          <w:rFonts w:ascii="Arial" w:hAnsi="Arial"/>
          <w:sz w:val="20"/>
          <w:szCs w:val="20"/>
        </w:rPr>
        <w:t>investigadores/as del IP Montevideo, INIA y otras instituciones de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n, promoviendo la vinculaci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del sector productivo, la academia y la industria.</w:t>
      </w:r>
    </w:p>
    <w:p w:rsidR="007664C3" w:rsidRDefault="00B751DD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firma candidata ser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 xml:space="preserve">responsable por realizar un estudio de impacto ambiental y social de la </w:t>
      </w:r>
      <w:r>
        <w:rPr>
          <w:rFonts w:ascii="Arial" w:hAnsi="Arial"/>
          <w:sz w:val="20"/>
          <w:szCs w:val="20"/>
        </w:rPr>
        <w:t>Cooperaci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T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cnica, incluyendo los aspectos biol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gicos debido al control de la especie </w:t>
      </w:r>
      <w:proofErr w:type="spellStart"/>
      <w:r>
        <w:rPr>
          <w:rFonts w:ascii="Arial" w:hAnsi="Arial"/>
          <w:i/>
          <w:iCs/>
          <w:sz w:val="20"/>
          <w:szCs w:val="20"/>
        </w:rPr>
        <w:t>Cochliomyia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hominivorax</w:t>
      </w:r>
      <w:proofErr w:type="spellEnd"/>
      <w:r>
        <w:rPr>
          <w:rFonts w:ascii="Arial" w:hAnsi="Arial"/>
          <w:sz w:val="20"/>
          <w:szCs w:val="20"/>
        </w:rPr>
        <w:t xml:space="preserve"> en nuestro pa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s, usando herramientas biotecnol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gicas de edici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g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nica por CRISPR-Cas y la metodolog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usada. Asimismo, deber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delinear la metod</w:t>
      </w:r>
      <w:r>
        <w:rPr>
          <w:rFonts w:ascii="Arial" w:hAnsi="Arial"/>
          <w:sz w:val="20"/>
          <w:szCs w:val="20"/>
        </w:rPr>
        <w:t>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para la investigaci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futura del impacto social de dicho proyecto. Al final del proceso se deber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presentar un informe escrito detallando todos los aspectos del estudio realizado.</w:t>
      </w:r>
      <w:r>
        <w:t xml:space="preserve"> </w:t>
      </w:r>
      <w:r>
        <w:rPr>
          <w:rFonts w:ascii="Arial" w:hAnsi="Arial"/>
          <w:sz w:val="20"/>
          <w:szCs w:val="20"/>
        </w:rPr>
        <w:t>La firma consultora, deber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estar integrada preferentemente por bi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</w:t>
      </w:r>
      <w:r>
        <w:rPr>
          <w:rFonts w:ascii="Arial" w:hAnsi="Arial"/>
          <w:sz w:val="20"/>
          <w:szCs w:val="20"/>
        </w:rPr>
        <w:t>gos, ingenieros ambientales y soci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logos, consolidados en estudios de impacto ambiental y social para llevar adelante la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en el marco de esta Cooperaci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T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cnica.</w:t>
      </w:r>
    </w:p>
    <w:p w:rsidR="007664C3" w:rsidRDefault="00B751DD">
      <w:pPr>
        <w:pStyle w:val="Body"/>
        <w:jc w:val="both"/>
        <w:rPr>
          <w:rStyle w:val="NoneA"/>
        </w:rPr>
      </w:pPr>
      <w:r>
        <w:rPr>
          <w:rFonts w:ascii="Arial" w:hAnsi="Arial"/>
          <w:sz w:val="20"/>
          <w:szCs w:val="20"/>
        </w:rPr>
        <w:t>La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a, deber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estar integrada preferentemente por bi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logos, ingenieros am</w:t>
      </w:r>
      <w:r>
        <w:rPr>
          <w:rFonts w:ascii="Arial" w:hAnsi="Arial"/>
          <w:sz w:val="20"/>
          <w:szCs w:val="20"/>
        </w:rPr>
        <w:t>bientales y soci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logos, consolidados en estudios de impacto ambiental y social para llevar adelante la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en el marco de esta Cooperaci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 T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cnica.</w:t>
      </w:r>
    </w:p>
    <w:p w:rsidR="007664C3" w:rsidRDefault="007664C3">
      <w:pPr>
        <w:pStyle w:val="Body"/>
        <w:jc w:val="both"/>
        <w:rPr>
          <w:rStyle w:val="NoneA"/>
        </w:rPr>
      </w:pPr>
    </w:p>
    <w:p w:rsidR="007664C3" w:rsidRDefault="00B751DD">
      <w:pPr>
        <w:pStyle w:val="Body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A) El producto final del trabajo deber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á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abordar: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 xml:space="preserve">Perjuicios causados por la mosca de la </w:t>
      </w:r>
      <w:proofErr w:type="spellStart"/>
      <w:r>
        <w:rPr>
          <w:lang w:val="es-ES_tradnl"/>
        </w:rPr>
        <w:t>bichera</w:t>
      </w:r>
      <w:proofErr w:type="spellEnd"/>
      <w:r>
        <w:rPr>
          <w:lang w:val="es-ES_tradnl"/>
        </w:rPr>
        <w:t xml:space="preserve"> (</w:t>
      </w:r>
      <w:r>
        <w:rPr>
          <w:i/>
          <w:iCs/>
          <w:lang w:val="es-ES_tradnl"/>
        </w:rPr>
        <w:t>C</w:t>
      </w:r>
      <w:r>
        <w:rPr>
          <w:lang w:val="es-ES_tradnl"/>
        </w:rPr>
        <w:t xml:space="preserve">. </w:t>
      </w:r>
      <w:proofErr w:type="spellStart"/>
      <w:r>
        <w:rPr>
          <w:i/>
          <w:iCs/>
          <w:lang w:val="es-ES_tradnl"/>
        </w:rPr>
        <w:t>hominivorax</w:t>
      </w:r>
      <w:proofErr w:type="spellEnd"/>
      <w:r>
        <w:rPr>
          <w:lang w:val="es-ES_tradnl"/>
        </w:rPr>
        <w:t>) en la producci</w:t>
      </w:r>
      <w:r>
        <w:rPr>
          <w:lang w:val="es-ES_tradnl"/>
        </w:rPr>
        <w:t>ó</w:t>
      </w:r>
      <w:r>
        <w:rPr>
          <w:lang w:val="es-ES_tradnl"/>
        </w:rPr>
        <w:t xml:space="preserve">n ganadera, bienestar animal y salud humana, con </w:t>
      </w:r>
      <w:r>
        <w:rPr>
          <w:lang w:val="es-ES_tradnl"/>
        </w:rPr>
        <w:t>é</w:t>
      </w:r>
      <w:r>
        <w:rPr>
          <w:lang w:val="es-ES_tradnl"/>
        </w:rPr>
        <w:t xml:space="preserve">nfasis en el caso de Uruguay,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>Ecolog</w:t>
      </w:r>
      <w:r>
        <w:rPr>
          <w:lang w:val="es-ES_tradnl"/>
        </w:rPr>
        <w:t>í</w:t>
      </w:r>
      <w:r>
        <w:rPr>
          <w:lang w:val="es-ES_tradnl"/>
        </w:rPr>
        <w:t xml:space="preserve">a de la mosca de la </w:t>
      </w:r>
      <w:proofErr w:type="spellStart"/>
      <w:r>
        <w:rPr>
          <w:lang w:val="es-ES_tradnl"/>
        </w:rPr>
        <w:t>bichera</w:t>
      </w:r>
      <w:proofErr w:type="spellEnd"/>
      <w:r>
        <w:rPr>
          <w:lang w:val="es-ES_tradnl"/>
        </w:rPr>
        <w:t xml:space="preserve">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>Justificaci</w:t>
      </w:r>
      <w:r>
        <w:rPr>
          <w:lang w:val="es-ES_tradnl"/>
        </w:rPr>
        <w:t>ó</w:t>
      </w:r>
      <w:r>
        <w:rPr>
          <w:lang w:val="es-ES_tradnl"/>
        </w:rPr>
        <w:t>n de la aplicaci</w:t>
      </w:r>
      <w:r>
        <w:rPr>
          <w:lang w:val="es-ES_tradnl"/>
        </w:rPr>
        <w:t>ó</w:t>
      </w:r>
      <w:r>
        <w:rPr>
          <w:lang w:val="es-ES_tradnl"/>
        </w:rPr>
        <w:t>n de edici</w:t>
      </w:r>
      <w:r>
        <w:rPr>
          <w:lang w:val="es-ES_tradnl"/>
        </w:rPr>
        <w:t>ó</w:t>
      </w:r>
      <w:r>
        <w:rPr>
          <w:lang w:val="es-ES_tradnl"/>
        </w:rPr>
        <w:t>n g</w:t>
      </w:r>
      <w:r>
        <w:rPr>
          <w:lang w:val="es-ES_tradnl"/>
        </w:rPr>
        <w:t>é</w:t>
      </w:r>
      <w:r>
        <w:rPr>
          <w:lang w:val="es-ES_tradnl"/>
        </w:rPr>
        <w:t xml:space="preserve">nica por el sistema CRISPR para el control de la mosca de la </w:t>
      </w:r>
      <w:proofErr w:type="spellStart"/>
      <w:r>
        <w:rPr>
          <w:lang w:val="es-ES_tradnl"/>
        </w:rPr>
        <w:t>bic</w:t>
      </w:r>
      <w:r>
        <w:rPr>
          <w:lang w:val="es-ES_tradnl"/>
        </w:rPr>
        <w:t>hera</w:t>
      </w:r>
      <w:proofErr w:type="spellEnd"/>
      <w:r>
        <w:rPr>
          <w:lang w:val="es-ES_tradnl"/>
        </w:rPr>
        <w:t xml:space="preserve"> en Uruguay,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lastRenderedPageBreak/>
        <w:t>Especificaci</w:t>
      </w:r>
      <w:r>
        <w:rPr>
          <w:lang w:val="es-ES_tradnl"/>
        </w:rPr>
        <w:t>ó</w:t>
      </w:r>
      <w:r>
        <w:rPr>
          <w:lang w:val="es-ES_tradnl"/>
        </w:rPr>
        <w:t>n de indeterminaciones m</w:t>
      </w:r>
      <w:r>
        <w:rPr>
          <w:lang w:val="es-ES_tradnl"/>
        </w:rPr>
        <w:t>á</w:t>
      </w:r>
      <w:r>
        <w:rPr>
          <w:lang w:val="es-ES_tradnl"/>
        </w:rPr>
        <w:t>s relevantes en todas sus etapas, incluyendo los mecanismos de acci</w:t>
      </w:r>
      <w:r>
        <w:rPr>
          <w:lang w:val="es-ES_tradnl"/>
        </w:rPr>
        <w:t>ó</w:t>
      </w:r>
      <w:r>
        <w:rPr>
          <w:lang w:val="es-ES_tradnl"/>
        </w:rPr>
        <w:t>n, desarrollo, procesos de producci</w:t>
      </w:r>
      <w:r>
        <w:rPr>
          <w:lang w:val="es-ES_tradnl"/>
        </w:rPr>
        <w:t>ó</w:t>
      </w:r>
      <w:r>
        <w:rPr>
          <w:lang w:val="es-ES_tradnl"/>
        </w:rPr>
        <w:t>n, liberaci</w:t>
      </w:r>
      <w:r>
        <w:rPr>
          <w:lang w:val="es-ES_tradnl"/>
        </w:rPr>
        <w:t>ó</w:t>
      </w:r>
      <w:r>
        <w:rPr>
          <w:lang w:val="es-ES_tradnl"/>
        </w:rPr>
        <w:t xml:space="preserve">n, controles de calidad y monitoreos,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>Marco normativo ambiental de referencia: Norm</w:t>
      </w:r>
      <w:r>
        <w:rPr>
          <w:lang w:val="es-ES_tradnl"/>
        </w:rPr>
        <w:t xml:space="preserve">ativa ambiental nacional y NDAS del BID,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 xml:space="preserve"> Descripci</w:t>
      </w:r>
      <w:r>
        <w:rPr>
          <w:lang w:val="es-ES_tradnl"/>
        </w:rPr>
        <w:t>ó</w:t>
      </w:r>
      <w:r>
        <w:rPr>
          <w:lang w:val="es-ES_tradnl"/>
        </w:rPr>
        <w:t xml:space="preserve">n general de las </w:t>
      </w:r>
      <w:r>
        <w:rPr>
          <w:lang w:val="es-ES_tradnl"/>
        </w:rPr>
        <w:t>á</w:t>
      </w:r>
      <w:r>
        <w:rPr>
          <w:lang w:val="es-ES_tradnl"/>
        </w:rPr>
        <w:t>reas de influencia correspondientes a cada etapa del proyecto (medio f</w:t>
      </w:r>
      <w:r>
        <w:rPr>
          <w:lang w:val="es-ES_tradnl"/>
        </w:rPr>
        <w:t>í</w:t>
      </w:r>
      <w:r>
        <w:rPr>
          <w:lang w:val="es-ES_tradnl"/>
        </w:rPr>
        <w:t>sico, bi</w:t>
      </w:r>
      <w:r>
        <w:rPr>
          <w:lang w:val="es-ES_tradnl"/>
        </w:rPr>
        <w:t>ó</w:t>
      </w:r>
      <w:r>
        <w:rPr>
          <w:lang w:val="es-ES_tradnl"/>
        </w:rPr>
        <w:t>tico y antr</w:t>
      </w:r>
      <w:r>
        <w:rPr>
          <w:lang w:val="es-ES_tradnl"/>
        </w:rPr>
        <w:t>ó</w:t>
      </w:r>
      <w:r>
        <w:rPr>
          <w:lang w:val="es-ES_tradnl"/>
        </w:rPr>
        <w:t xml:space="preserve">pico),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 xml:space="preserve"> Identificaci</w:t>
      </w:r>
      <w:r>
        <w:rPr>
          <w:lang w:val="es-ES_tradnl"/>
        </w:rPr>
        <w:t>ó</w:t>
      </w:r>
      <w:r>
        <w:rPr>
          <w:lang w:val="es-ES_tradnl"/>
        </w:rPr>
        <w:t>n y evaluaci</w:t>
      </w:r>
      <w:r>
        <w:rPr>
          <w:lang w:val="es-ES_tradnl"/>
        </w:rPr>
        <w:t>ó</w:t>
      </w:r>
      <w:r>
        <w:rPr>
          <w:lang w:val="es-ES_tradnl"/>
        </w:rPr>
        <w:t xml:space="preserve">n de riesgos e impactos ambientales y sociales del proyecto, y </w:t>
      </w:r>
    </w:p>
    <w:p w:rsidR="007664C3" w:rsidRDefault="00B751DD">
      <w:pPr>
        <w:pStyle w:val="Prrafodelista"/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 xml:space="preserve"> Pautas el plan de gesti</w:t>
      </w:r>
      <w:r>
        <w:rPr>
          <w:lang w:val="es-ES_tradnl"/>
        </w:rPr>
        <w:t>ó</w:t>
      </w:r>
      <w:r>
        <w:rPr>
          <w:lang w:val="es-ES_tradnl"/>
        </w:rPr>
        <w:t>n de riesgos e impactos.</w:t>
      </w:r>
    </w:p>
    <w:p w:rsidR="007664C3" w:rsidRDefault="007664C3">
      <w:pPr>
        <w:pStyle w:val="Body"/>
        <w:jc w:val="both"/>
        <w:rPr>
          <w:rFonts w:ascii="Arial" w:eastAsia="Arial" w:hAnsi="Arial" w:cs="Arial"/>
          <w:color w:val="1B75BC"/>
          <w:sz w:val="20"/>
          <w:szCs w:val="20"/>
          <w:u w:color="1B75BC"/>
        </w:rPr>
      </w:pPr>
    </w:p>
    <w:p w:rsidR="007664C3" w:rsidRDefault="00B751DD">
      <w:pPr>
        <w:pStyle w:val="Body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B) Entregables y Cronograma de pagos</w:t>
      </w:r>
      <w:r>
        <w:rPr>
          <w:rFonts w:ascii="Arial" w:hAnsi="Arial"/>
          <w:b/>
          <w:bCs/>
          <w:sz w:val="20"/>
          <w:szCs w:val="20"/>
        </w:rPr>
        <w:t>:</w:t>
      </w:r>
    </w:p>
    <w:p w:rsidR="007664C3" w:rsidRDefault="00B751DD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Se realizar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n tres pagos acordes a lo siguiente: </w:t>
      </w:r>
    </w:p>
    <w:p w:rsidR="007664C3" w:rsidRDefault="00B751DD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lang w:val="es-ES_tradnl"/>
        </w:rPr>
        <w:t xml:space="preserve">el primer pago por el </w:t>
      </w:r>
      <w:r>
        <w:rPr>
          <w:lang w:val="es-ES_tradnl"/>
        </w:rPr>
        <w:t>10% al entregar y ser aprobado</w:t>
      </w:r>
      <w:r>
        <w:rPr>
          <w:lang w:val="es-ES_tradnl"/>
        </w:rPr>
        <w:t xml:space="preserve"> por el contratante un Plan de trabajo para la realizaci</w:t>
      </w:r>
      <w:r>
        <w:rPr>
          <w:lang w:val="es-ES_tradnl"/>
        </w:rPr>
        <w:t>ó</w:t>
      </w:r>
      <w:r>
        <w:rPr>
          <w:lang w:val="es-ES_tradnl"/>
        </w:rPr>
        <w:t>n de la consultor</w:t>
      </w:r>
      <w:r>
        <w:rPr>
          <w:lang w:val="es-ES_tradnl"/>
        </w:rPr>
        <w:t>í</w:t>
      </w:r>
      <w:r>
        <w:rPr>
          <w:lang w:val="es-ES_tradnl"/>
        </w:rPr>
        <w:t xml:space="preserve">a, </w:t>
      </w:r>
    </w:p>
    <w:p w:rsidR="007664C3" w:rsidRDefault="00B751DD">
      <w:pPr>
        <w:pStyle w:val="Prrafodelista"/>
        <w:numPr>
          <w:ilvl w:val="0"/>
          <w:numId w:val="5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>el segundo pago por el</w:t>
      </w:r>
      <w:r>
        <w:rPr>
          <w:lang w:val="es-ES_tradnl"/>
        </w:rPr>
        <w:t> </w:t>
      </w:r>
      <w:r>
        <w:rPr>
          <w:lang w:val="es-ES_tradnl"/>
        </w:rPr>
        <w:t>40% al aprobarse un primer avance del informe final con la totalidad de productos obtenidos (1 a 8) en versi</w:t>
      </w:r>
      <w:r>
        <w:rPr>
          <w:lang w:val="es-ES_tradnl"/>
        </w:rPr>
        <w:t>ó</w:t>
      </w:r>
      <w:r>
        <w:rPr>
          <w:lang w:val="es-ES_tradnl"/>
        </w:rPr>
        <w:t>n sujeta a revisi</w:t>
      </w:r>
      <w:r>
        <w:rPr>
          <w:lang w:val="es-ES_tradnl"/>
        </w:rPr>
        <w:t>ó</w:t>
      </w:r>
      <w:r>
        <w:rPr>
          <w:lang w:val="es-ES_tradnl"/>
        </w:rPr>
        <w:t xml:space="preserve">n y comentarios </w:t>
      </w:r>
    </w:p>
    <w:p w:rsidR="007664C3" w:rsidRDefault="00B751DD">
      <w:pPr>
        <w:pStyle w:val="Prrafodelista"/>
        <w:numPr>
          <w:ilvl w:val="0"/>
          <w:numId w:val="5"/>
        </w:numPr>
        <w:jc w:val="both"/>
        <w:rPr>
          <w:rFonts w:ascii="Arial" w:hAnsi="Arial"/>
          <w:lang w:val="es-ES_tradnl"/>
        </w:rPr>
      </w:pPr>
      <w:r>
        <w:rPr>
          <w:lang w:val="es-ES_tradnl"/>
        </w:rPr>
        <w:t xml:space="preserve">el tercer </w:t>
      </w:r>
      <w:r>
        <w:rPr>
          <w:lang w:val="es-ES_tradnl"/>
        </w:rPr>
        <w:t>pago por el 50 % restante al aprobarse el INFORME FINAL, que ser</w:t>
      </w:r>
      <w:r>
        <w:rPr>
          <w:lang w:val="es-ES_tradnl"/>
        </w:rPr>
        <w:t xml:space="preserve">á </w:t>
      </w:r>
      <w:r>
        <w:rPr>
          <w:lang w:val="es-ES_tradnl"/>
        </w:rPr>
        <w:t xml:space="preserve">requerido como un documento escrito. </w:t>
      </w:r>
    </w:p>
    <w:p w:rsidR="007664C3" w:rsidRDefault="00B751DD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C) Requisitos:</w:t>
      </w:r>
    </w:p>
    <w:p w:rsidR="007664C3" w:rsidRDefault="00B751DD">
      <w:pPr>
        <w:pStyle w:val="Body"/>
        <w:spacing w:after="144"/>
        <w:ind w:left="720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>Ciudadan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a:</w:t>
      </w:r>
      <w:r>
        <w:rPr>
          <w:rFonts w:ascii="Arial" w:hAnsi="Arial"/>
          <w:sz w:val="20"/>
          <w:szCs w:val="20"/>
        </w:rPr>
        <w:t xml:space="preserve"> Abierto a todas las nacionalidades. </w:t>
      </w:r>
    </w:p>
    <w:p w:rsidR="007664C3" w:rsidRDefault="00B751DD">
      <w:pPr>
        <w:pStyle w:val="Body"/>
        <w:spacing w:after="144"/>
        <w:ind w:left="720"/>
        <w:jc w:val="both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>Consanguinidad:</w:t>
      </w:r>
      <w:r>
        <w:rPr>
          <w:rFonts w:ascii="Arial" w:hAnsi="Arial"/>
          <w:sz w:val="20"/>
          <w:szCs w:val="20"/>
        </w:rPr>
        <w:t xml:space="preserve"> Las personas a contratar no podr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n tener familiares (hasta el cuarto </w:t>
      </w:r>
      <w:r>
        <w:rPr>
          <w:rFonts w:ascii="Arial" w:hAnsi="Arial"/>
          <w:sz w:val="20"/>
          <w:szCs w:val="20"/>
        </w:rPr>
        <w:t>grado de consanguinidad y segundo grado de afinidad, incluido el c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nyuge) que trabajen en el Grupo del BID.</w:t>
      </w:r>
    </w:p>
    <w:p w:rsidR="007664C3" w:rsidRDefault="00B751DD">
      <w:pPr>
        <w:pStyle w:val="Body"/>
        <w:spacing w:after="144"/>
        <w:ind w:left="720"/>
        <w:jc w:val="both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>Educaci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n:</w:t>
      </w:r>
      <w:r>
        <w:rPr>
          <w:rFonts w:ascii="Arial" w:hAnsi="Arial"/>
          <w:sz w:val="20"/>
          <w:szCs w:val="20"/>
        </w:rPr>
        <w:t xml:space="preserve"> Las/los aspirantes deber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 tener el t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tulo de Bi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logo, Ingeniero Ambiental y/o Ciencias Sociales, as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como demostrada experiencia en las 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reas de la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a.</w:t>
      </w:r>
    </w:p>
    <w:p w:rsidR="007664C3" w:rsidRDefault="00B751DD">
      <w:pPr>
        <w:pStyle w:val="Body"/>
        <w:spacing w:after="144"/>
        <w:ind w:left="720"/>
        <w:jc w:val="both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>Experiencia:</w:t>
      </w:r>
      <w:r>
        <w:rPr>
          <w:rFonts w:ascii="Arial" w:hAnsi="Arial"/>
          <w:sz w:val="20"/>
          <w:szCs w:val="20"/>
        </w:rPr>
        <w:t xml:space="preserve"> Se requerir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en forma muy especial antecedentes en estudios de impacto ambiental y social.</w:t>
      </w:r>
    </w:p>
    <w:p w:rsidR="007664C3" w:rsidRDefault="00B751DD">
      <w:pPr>
        <w:pStyle w:val="Body"/>
        <w:spacing w:after="144"/>
        <w:ind w:left="720"/>
        <w:jc w:val="both"/>
        <w:rPr>
          <w:rStyle w:val="NoneA"/>
        </w:rPr>
      </w:pPr>
      <w:r>
        <w:rPr>
          <w:rFonts w:ascii="Arial" w:hAnsi="Arial"/>
          <w:b/>
          <w:bCs/>
          <w:sz w:val="20"/>
          <w:szCs w:val="20"/>
        </w:rPr>
        <w:t xml:space="preserve">Idiomas: </w:t>
      </w:r>
      <w:proofErr w:type="gramStart"/>
      <w:r>
        <w:rPr>
          <w:rFonts w:ascii="Arial" w:hAnsi="Arial"/>
          <w:sz w:val="20"/>
          <w:szCs w:val="20"/>
        </w:rPr>
        <w:t>Espa</w:t>
      </w:r>
      <w:r>
        <w:rPr>
          <w:rFonts w:ascii="Arial" w:hAnsi="Arial"/>
          <w:sz w:val="20"/>
          <w:szCs w:val="20"/>
        </w:rPr>
        <w:t>ñ</w:t>
      </w:r>
      <w:r>
        <w:rPr>
          <w:rFonts w:ascii="Arial" w:hAnsi="Arial"/>
          <w:sz w:val="20"/>
          <w:szCs w:val="20"/>
        </w:rPr>
        <w:t>ol</w:t>
      </w:r>
      <w:proofErr w:type="gramEnd"/>
      <w:r>
        <w:rPr>
          <w:rFonts w:ascii="Arial" w:hAnsi="Arial"/>
          <w:sz w:val="20"/>
          <w:szCs w:val="20"/>
        </w:rPr>
        <w:t xml:space="preserve"> e Ingl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</w:t>
      </w:r>
    </w:p>
    <w:p w:rsidR="007664C3" w:rsidRDefault="00B751DD">
      <w:pPr>
        <w:pStyle w:val="Body"/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D)Competencias generales y t</w:t>
      </w:r>
      <w:r>
        <w:rPr>
          <w:rFonts w:ascii="Arial" w:hAnsi="Arial"/>
          <w:b/>
          <w:bCs/>
          <w:sz w:val="20"/>
          <w:szCs w:val="20"/>
          <w:u w:val="single"/>
        </w:rPr>
        <w:t>é</w:t>
      </w:r>
      <w:r>
        <w:rPr>
          <w:rFonts w:ascii="Arial" w:hAnsi="Arial"/>
          <w:b/>
          <w:bCs/>
          <w:sz w:val="20"/>
          <w:szCs w:val="20"/>
          <w:u w:val="single"/>
        </w:rPr>
        <w:t>cnicas: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7664C3" w:rsidRDefault="00B751DD">
      <w:pPr>
        <w:pStyle w:val="Body"/>
        <w:spacing w:after="0"/>
        <w:jc w:val="both"/>
        <w:rPr>
          <w:rStyle w:val="NoneA"/>
        </w:rPr>
      </w:pPr>
      <w:r>
        <w:rPr>
          <w:rFonts w:ascii="Arial" w:hAnsi="Arial"/>
          <w:sz w:val="20"/>
          <w:szCs w:val="20"/>
        </w:rPr>
        <w:t>La firma candidata deber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demostrar habilidades anal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ticas </w:t>
      </w:r>
      <w:r>
        <w:rPr>
          <w:rFonts w:ascii="Arial" w:hAnsi="Arial"/>
          <w:sz w:val="20"/>
          <w:szCs w:val="20"/>
        </w:rPr>
        <w:t>avanzadas para poder coordinar y llevar adelante la consultor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 de forma independiente. Adem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s, es indispensable que tenga competencias </w:t>
      </w:r>
      <w:proofErr w:type="spellStart"/>
      <w:r>
        <w:rPr>
          <w:rFonts w:ascii="Arial" w:hAnsi="Arial"/>
          <w:sz w:val="20"/>
          <w:szCs w:val="20"/>
        </w:rPr>
        <w:t>especificas</w:t>
      </w:r>
      <w:proofErr w:type="spellEnd"/>
      <w:r>
        <w:rPr>
          <w:rFonts w:ascii="Arial" w:hAnsi="Arial"/>
          <w:sz w:val="20"/>
          <w:szCs w:val="20"/>
        </w:rPr>
        <w:t xml:space="preserve"> en biolog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a, impacto ambiental y sociolog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a. En particular se valorar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el dominio de las metodolog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as de est</w:t>
      </w:r>
      <w:r>
        <w:rPr>
          <w:rFonts w:ascii="Arial" w:hAnsi="Arial"/>
          <w:sz w:val="20"/>
          <w:szCs w:val="20"/>
        </w:rPr>
        <w:t>udio de impacto ambiental y social.</w:t>
      </w:r>
    </w:p>
    <w:p w:rsidR="007664C3" w:rsidRDefault="007664C3">
      <w:pPr>
        <w:pStyle w:val="Body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664C3" w:rsidRDefault="00B751DD">
      <w:pPr>
        <w:pStyle w:val="Body"/>
        <w:rPr>
          <w:rStyle w:val="NoneA"/>
        </w:rPr>
      </w:pPr>
      <w:r>
        <w:rPr>
          <w:rFonts w:ascii="Arial" w:hAnsi="Arial"/>
          <w:b/>
          <w:bCs/>
          <w:sz w:val="20"/>
          <w:szCs w:val="20"/>
          <w:u w:val="single"/>
        </w:rPr>
        <w:t>E) Resumen de la oportunidad: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lastRenderedPageBreak/>
        <w:t xml:space="preserve">Tipo de contrato y modalidad: </w:t>
      </w:r>
      <w:r>
        <w:rPr>
          <w:rFonts w:ascii="Arial" w:hAnsi="Arial"/>
          <w:sz w:val="20"/>
          <w:szCs w:val="20"/>
          <w:lang w:val="es-ES_tradnl"/>
        </w:rPr>
        <w:t>A termino.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Duraci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</w:rPr>
        <w:t>n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del </w:t>
      </w:r>
      <w:proofErr w:type="spellStart"/>
      <w:r>
        <w:rPr>
          <w:rFonts w:ascii="Arial" w:hAnsi="Arial"/>
          <w:b/>
          <w:bCs/>
          <w:sz w:val="20"/>
          <w:szCs w:val="20"/>
        </w:rPr>
        <w:t>contrato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  <w:lang w:val="es-ES_tradnl"/>
        </w:rPr>
        <w:t xml:space="preserve"> meses.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 xml:space="preserve">Fecha de inicio: </w:t>
      </w:r>
      <w:r>
        <w:rPr>
          <w:rFonts w:ascii="Arial" w:hAnsi="Arial"/>
          <w:sz w:val="20"/>
          <w:szCs w:val="20"/>
          <w:lang w:val="es-ES_tradnl"/>
        </w:rPr>
        <w:t>1</w:t>
      </w:r>
      <w:r w:rsidR="0037039D">
        <w:rPr>
          <w:rFonts w:ascii="Arial" w:hAnsi="Arial"/>
          <w:sz w:val="20"/>
          <w:szCs w:val="20"/>
          <w:lang w:val="es-ES_tradnl"/>
        </w:rPr>
        <w:t>0</w:t>
      </w:r>
      <w:r>
        <w:rPr>
          <w:rFonts w:ascii="Arial" w:hAnsi="Arial"/>
          <w:sz w:val="20"/>
          <w:szCs w:val="20"/>
          <w:lang w:val="es-ES_tradnl"/>
        </w:rPr>
        <w:t xml:space="preserve"> de octubre 2023.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>Ubicaci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  <w:lang w:val="es-ES_tradnl"/>
        </w:rPr>
        <w:t>n:</w:t>
      </w:r>
      <w:r>
        <w:rPr>
          <w:rFonts w:ascii="Arial" w:hAnsi="Arial"/>
          <w:sz w:val="20"/>
          <w:szCs w:val="20"/>
          <w:lang w:val="es-ES_tradnl"/>
        </w:rPr>
        <w:t xml:space="preserve"> UMPI-IPMON, Montevideo y PSA-INIA LE, Colonia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>Persona responsable:</w:t>
      </w:r>
      <w:bookmarkStart w:id="1" w:name="_Hlk497404050"/>
      <w:bookmarkEnd w:id="1"/>
      <w:r>
        <w:rPr>
          <w:rFonts w:ascii="Arial" w:hAnsi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hAnsi="Arial"/>
          <w:sz w:val="20"/>
          <w:szCs w:val="20"/>
          <w:lang w:val="es-ES_tradnl"/>
        </w:rPr>
        <w:t>Comit</w:t>
      </w:r>
      <w:r>
        <w:rPr>
          <w:rFonts w:ascii="Arial" w:hAnsi="Arial"/>
          <w:sz w:val="20"/>
          <w:szCs w:val="20"/>
          <w:lang w:val="es-ES_tradnl"/>
        </w:rPr>
        <w:t xml:space="preserve">é </w:t>
      </w:r>
      <w:r>
        <w:rPr>
          <w:rFonts w:ascii="Arial" w:hAnsi="Arial"/>
          <w:sz w:val="20"/>
          <w:szCs w:val="20"/>
          <w:lang w:val="es-ES_tradnl"/>
        </w:rPr>
        <w:t>evaluador de la Unidad Mixta Pasteur + INIA.</w:t>
      </w:r>
    </w:p>
    <w:p w:rsidR="007664C3" w:rsidRDefault="00B751DD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 xml:space="preserve">Requisitos: </w:t>
      </w:r>
      <w:bookmarkStart w:id="2" w:name="_Hlk497833004"/>
      <w:r>
        <w:rPr>
          <w:rFonts w:ascii="Arial" w:hAnsi="Arial"/>
          <w:sz w:val="20"/>
          <w:szCs w:val="20"/>
          <w:lang w:val="es-ES_tradnl"/>
        </w:rPr>
        <w:t xml:space="preserve">Debes ser ciudadano/a de uno de los </w:t>
      </w:r>
      <w:hyperlink r:id="rId7" w:history="1">
        <w:r>
          <w:rPr>
            <w:rStyle w:val="Hyperlink0"/>
            <w:sz w:val="20"/>
            <w:szCs w:val="20"/>
          </w:rPr>
          <w:t>48 pa</w:t>
        </w:r>
        <w:r>
          <w:rPr>
            <w:rStyle w:val="Hyperlink0"/>
            <w:sz w:val="20"/>
            <w:szCs w:val="20"/>
          </w:rPr>
          <w:t>í</w:t>
        </w:r>
        <w:r>
          <w:rPr>
            <w:rStyle w:val="Hyperlink0"/>
            <w:sz w:val="20"/>
            <w:szCs w:val="20"/>
          </w:rPr>
          <w:t>ses miemb</w:t>
        </w:r>
        <w:r>
          <w:rPr>
            <w:rStyle w:val="Hyperlink0"/>
            <w:sz w:val="20"/>
            <w:szCs w:val="20"/>
          </w:rPr>
          <w:t>ros del BID</w:t>
        </w:r>
      </w:hyperlink>
      <w:r>
        <w:rPr>
          <w:rStyle w:val="None"/>
          <w:rFonts w:ascii="Arial" w:hAnsi="Arial"/>
          <w:sz w:val="20"/>
          <w:szCs w:val="20"/>
          <w:lang w:val="es-ES_tradnl"/>
        </w:rPr>
        <w:t xml:space="preserve"> y no tener familiares que trabajen actualmente en el Grupo BID.</w:t>
      </w:r>
      <w:bookmarkEnd w:id="2"/>
    </w:p>
    <w:p w:rsidR="007664C3" w:rsidRDefault="007664C3">
      <w:pPr>
        <w:pStyle w:val="Prrafodelista"/>
        <w:ind w:left="0"/>
        <w:rPr>
          <w:rStyle w:val="NoneA"/>
          <w:lang w:val="es-ES_tradnl"/>
        </w:rPr>
      </w:pPr>
    </w:p>
    <w:p w:rsidR="007664C3" w:rsidRDefault="00B751DD">
      <w:pPr>
        <w:pStyle w:val="Body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  <w:u w:val="single"/>
        </w:rPr>
        <w:t>F) Nuestra cultura:</w:t>
      </w:r>
      <w:r>
        <w:rPr>
          <w:rStyle w:val="None"/>
          <w:rFonts w:ascii="Arial" w:hAnsi="Arial"/>
          <w:sz w:val="20"/>
          <w:szCs w:val="20"/>
        </w:rPr>
        <w:t xml:space="preserve"> </w:t>
      </w:r>
    </w:p>
    <w:p w:rsidR="007664C3" w:rsidRDefault="00B751DD">
      <w:pPr>
        <w:pStyle w:val="Body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El Institut Pasteur de Montevideo (IPMONT) tiene como finalidad producir ciencia de nivel internacional en el campo de la biolog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 xml:space="preserve">a, articulando la </w:t>
      </w:r>
      <w:r>
        <w:rPr>
          <w:rStyle w:val="None"/>
          <w:rFonts w:ascii="Arial" w:hAnsi="Arial"/>
          <w:sz w:val="20"/>
          <w:szCs w:val="20"/>
        </w:rPr>
        <w:t>investigaci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n, sus aplicaciones y la formaci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n de recursos humanos especializados, contribuyendo al desarrollo de la ciencia y la biotecnolog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a uruguayas. En este contexto, busca ser un centro cient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fico y tecnol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 xml:space="preserve">gico de nivel internacional en el campo de </w:t>
      </w:r>
      <w:r>
        <w:rPr>
          <w:rStyle w:val="None"/>
          <w:rFonts w:ascii="Arial" w:hAnsi="Arial"/>
          <w:sz w:val="20"/>
          <w:szCs w:val="20"/>
        </w:rPr>
        <w:t>la biomedicina, capaz de explotar las grandes oportunidades ofrecidas por el desarrollo de la biolog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a y la biotecnolog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a. En este proyecto pretendemos dar respuesta a una problem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>tica regional que afecta a toda Am</w:t>
      </w:r>
      <w:r>
        <w:rPr>
          <w:rStyle w:val="None"/>
          <w:rFonts w:ascii="Arial" w:hAnsi="Arial"/>
          <w:sz w:val="20"/>
          <w:szCs w:val="20"/>
        </w:rPr>
        <w:t>é</w:t>
      </w:r>
      <w:r>
        <w:rPr>
          <w:rStyle w:val="None"/>
          <w:rFonts w:ascii="Arial" w:hAnsi="Arial"/>
          <w:sz w:val="20"/>
          <w:szCs w:val="20"/>
        </w:rPr>
        <w:t>rica del Sur. Nuestra cultura nos conduce</w:t>
      </w:r>
      <w:r>
        <w:rPr>
          <w:rStyle w:val="None"/>
          <w:rFonts w:ascii="Arial" w:hAnsi="Arial"/>
          <w:sz w:val="20"/>
          <w:szCs w:val="20"/>
        </w:rPr>
        <w:t xml:space="preserve"> a buscar soluciones a partir de nuestras herramientas: el conocimiento y el desarrollo tecnol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 xml:space="preserve">gico. </w:t>
      </w:r>
    </w:p>
    <w:p w:rsidR="007664C3" w:rsidRDefault="007664C3">
      <w:pPr>
        <w:pStyle w:val="Body"/>
        <w:jc w:val="both"/>
        <w:rPr>
          <w:rStyle w:val="NoneA"/>
        </w:rPr>
      </w:pPr>
    </w:p>
    <w:p w:rsidR="007664C3" w:rsidRDefault="00B751DD">
      <w:pPr>
        <w:pStyle w:val="Body"/>
        <w:spacing w:line="360" w:lineRule="auto"/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G) </w:t>
      </w:r>
      <w:r>
        <w:rPr>
          <w:rStyle w:val="None"/>
          <w:rFonts w:ascii="Arial" w:hAnsi="Arial"/>
          <w:b/>
          <w:bCs/>
          <w:sz w:val="20"/>
          <w:szCs w:val="20"/>
          <w:u w:val="single"/>
        </w:rPr>
        <w:t>Sobre nosotros:</w:t>
      </w:r>
    </w:p>
    <w:p w:rsidR="007664C3" w:rsidRDefault="00B751DD">
      <w:pPr>
        <w:pStyle w:val="Body"/>
        <w:jc w:val="both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El Institut Pasteur de Montevideo es uno de los m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 xml:space="preserve">s recientes institutos de la Red </w:t>
      </w:r>
      <w:r w:rsidR="0037039D">
        <w:rPr>
          <w:rStyle w:val="None"/>
          <w:rFonts w:ascii="Arial" w:hAnsi="Arial"/>
          <w:sz w:val="20"/>
          <w:szCs w:val="20"/>
        </w:rPr>
        <w:t>Pasteur (Pasteur Network, PN)</w:t>
      </w:r>
      <w:r>
        <w:rPr>
          <w:rStyle w:val="None"/>
          <w:rFonts w:ascii="Arial" w:hAnsi="Arial"/>
          <w:sz w:val="20"/>
          <w:szCs w:val="20"/>
        </w:rPr>
        <w:t>, que as</w:t>
      </w:r>
      <w:r>
        <w:rPr>
          <w:rStyle w:val="None"/>
          <w:rFonts w:ascii="Arial" w:hAnsi="Arial"/>
          <w:sz w:val="20"/>
          <w:szCs w:val="20"/>
        </w:rPr>
        <w:t>ocia a</w:t>
      </w:r>
      <w:r w:rsidR="0037039D">
        <w:rPr>
          <w:rStyle w:val="None"/>
          <w:rFonts w:ascii="Arial" w:hAnsi="Arial"/>
          <w:sz w:val="20"/>
          <w:szCs w:val="20"/>
        </w:rPr>
        <w:t xml:space="preserve"> más de</w:t>
      </w:r>
      <w:r>
        <w:rPr>
          <w:rStyle w:val="None"/>
          <w:rFonts w:ascii="Arial" w:hAnsi="Arial"/>
          <w:sz w:val="20"/>
          <w:szCs w:val="20"/>
        </w:rPr>
        <w:t xml:space="preserve"> 3</w:t>
      </w:r>
      <w:r w:rsidR="0037039D">
        <w:rPr>
          <w:rStyle w:val="None"/>
          <w:rFonts w:ascii="Arial" w:hAnsi="Arial"/>
          <w:sz w:val="20"/>
          <w:szCs w:val="20"/>
        </w:rPr>
        <w:t>0</w:t>
      </w:r>
      <w:r>
        <w:rPr>
          <w:rStyle w:val="None"/>
          <w:rFonts w:ascii="Arial" w:hAnsi="Arial"/>
          <w:sz w:val="20"/>
          <w:szCs w:val="20"/>
        </w:rPr>
        <w:t xml:space="preserve"> centros independientes situados en los cinco continentes y unidos por la misma cultura y valores. Dedicado a la investigaci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n cient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 xml:space="preserve">fica en el 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>rea de la medicina biol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gica, el IPMON</w:t>
      </w:r>
      <w:r w:rsidR="0037039D">
        <w:rPr>
          <w:rStyle w:val="None"/>
          <w:rFonts w:ascii="Arial" w:hAnsi="Arial"/>
          <w:sz w:val="20"/>
          <w:szCs w:val="20"/>
        </w:rPr>
        <w:t>T</w:t>
      </w:r>
      <w:bookmarkStart w:id="3" w:name="_GoBack"/>
      <w:bookmarkEnd w:id="3"/>
      <w:r>
        <w:rPr>
          <w:rStyle w:val="None"/>
          <w:rFonts w:ascii="Arial" w:hAnsi="Arial"/>
          <w:sz w:val="20"/>
          <w:szCs w:val="20"/>
        </w:rPr>
        <w:t xml:space="preserve"> est</w:t>
      </w:r>
      <w:r>
        <w:rPr>
          <w:rStyle w:val="None"/>
          <w:rFonts w:ascii="Arial" w:hAnsi="Arial"/>
          <w:sz w:val="20"/>
          <w:szCs w:val="20"/>
        </w:rPr>
        <w:t xml:space="preserve">á </w:t>
      </w:r>
      <w:r>
        <w:rPr>
          <w:rStyle w:val="None"/>
          <w:rFonts w:ascii="Arial" w:hAnsi="Arial"/>
          <w:sz w:val="20"/>
          <w:szCs w:val="20"/>
        </w:rPr>
        <w:t>formado por plataformas cient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ficas de alta tecnolog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 xml:space="preserve">a en 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>reas como la gen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mica, prote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mica, bioinform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>tica, biolog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a molecular y celular; laboratorios abiertos a proyectos de investigaci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n de cient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>ficos j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venes; un centro de ense</w:t>
      </w:r>
      <w:r>
        <w:rPr>
          <w:rStyle w:val="None"/>
          <w:rFonts w:ascii="Arial" w:hAnsi="Arial"/>
          <w:sz w:val="20"/>
          <w:szCs w:val="20"/>
        </w:rPr>
        <w:t>ñ</w:t>
      </w:r>
      <w:r>
        <w:rPr>
          <w:rStyle w:val="None"/>
          <w:rFonts w:ascii="Arial" w:hAnsi="Arial"/>
          <w:sz w:val="20"/>
          <w:szCs w:val="20"/>
        </w:rPr>
        <w:t>anza internacional con cursos sobre los m</w:t>
      </w:r>
      <w:r>
        <w:rPr>
          <w:rStyle w:val="None"/>
          <w:rFonts w:ascii="Arial" w:hAnsi="Arial"/>
          <w:sz w:val="20"/>
          <w:szCs w:val="20"/>
        </w:rPr>
        <w:t>á</w:t>
      </w:r>
      <w:r>
        <w:rPr>
          <w:rStyle w:val="None"/>
          <w:rFonts w:ascii="Arial" w:hAnsi="Arial"/>
          <w:sz w:val="20"/>
          <w:szCs w:val="20"/>
        </w:rPr>
        <w:t>s recientes conocimientos biol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gic</w:t>
      </w:r>
      <w:r>
        <w:rPr>
          <w:rStyle w:val="None"/>
          <w:rFonts w:ascii="Arial" w:hAnsi="Arial"/>
          <w:sz w:val="20"/>
          <w:szCs w:val="20"/>
        </w:rPr>
        <w:t>os y tecnolog</w:t>
      </w:r>
      <w:r>
        <w:rPr>
          <w:rStyle w:val="None"/>
          <w:rFonts w:ascii="Arial" w:hAnsi="Arial"/>
          <w:sz w:val="20"/>
          <w:szCs w:val="20"/>
        </w:rPr>
        <w:t>í</w:t>
      </w:r>
      <w:r>
        <w:rPr>
          <w:rStyle w:val="None"/>
          <w:rFonts w:ascii="Arial" w:hAnsi="Arial"/>
          <w:sz w:val="20"/>
          <w:szCs w:val="20"/>
        </w:rPr>
        <w:t xml:space="preserve">as de punta; y </w:t>
      </w:r>
      <w:proofErr w:type="spellStart"/>
      <w:r>
        <w:rPr>
          <w:rStyle w:val="None"/>
          <w:rFonts w:ascii="Arial" w:hAnsi="Arial"/>
          <w:sz w:val="20"/>
          <w:szCs w:val="20"/>
        </w:rPr>
        <w:t>start</w:t>
      </w:r>
      <w:proofErr w:type="spellEnd"/>
      <w:r>
        <w:rPr>
          <w:rStyle w:val="None"/>
          <w:rFonts w:ascii="Arial" w:hAnsi="Arial"/>
          <w:sz w:val="20"/>
          <w:szCs w:val="20"/>
        </w:rPr>
        <w:t>-ups para el desarrollo de aplicaciones biotecnol</w:t>
      </w:r>
      <w:r>
        <w:rPr>
          <w:rStyle w:val="None"/>
          <w:rFonts w:ascii="Arial" w:hAnsi="Arial"/>
          <w:sz w:val="20"/>
          <w:szCs w:val="20"/>
        </w:rPr>
        <w:t>ó</w:t>
      </w:r>
      <w:r>
        <w:rPr>
          <w:rStyle w:val="None"/>
          <w:rFonts w:ascii="Arial" w:hAnsi="Arial"/>
          <w:sz w:val="20"/>
          <w:szCs w:val="20"/>
        </w:rPr>
        <w:t>gicas.</w:t>
      </w:r>
    </w:p>
    <w:sectPr w:rsidR="007664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DD" w:rsidRDefault="00B751DD">
      <w:r>
        <w:separator/>
      </w:r>
    </w:p>
  </w:endnote>
  <w:endnote w:type="continuationSeparator" w:id="0">
    <w:p w:rsidR="00B751DD" w:rsidRDefault="00B7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C3" w:rsidRDefault="007664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DD" w:rsidRDefault="00B751DD">
      <w:r>
        <w:separator/>
      </w:r>
    </w:p>
  </w:footnote>
  <w:footnote w:type="continuationSeparator" w:id="0">
    <w:p w:rsidR="00B751DD" w:rsidRDefault="00B7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C3" w:rsidRDefault="00B751DD">
    <w:pPr>
      <w:pStyle w:val="HeaderFooter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D99"/>
    <w:multiLevelType w:val="hybridMultilevel"/>
    <w:tmpl w:val="3D26658E"/>
    <w:styleLink w:val="ImportedStyle2"/>
    <w:lvl w:ilvl="0" w:tplc="765C313E">
      <w:start w:val="1"/>
      <w:numFmt w:val="lowerRoman"/>
      <w:lvlText w:val="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706F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A1D3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C0A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85A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0B38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068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C3B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0C46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EF19F0"/>
    <w:multiLevelType w:val="hybridMultilevel"/>
    <w:tmpl w:val="32625954"/>
    <w:numStyleLink w:val="ImportedStyle10"/>
  </w:abstractNum>
  <w:abstractNum w:abstractNumId="2" w15:restartNumberingAfterBreak="0">
    <w:nsid w:val="3B585E1E"/>
    <w:multiLevelType w:val="hybridMultilevel"/>
    <w:tmpl w:val="311AFB78"/>
    <w:numStyleLink w:val="ImportedStyle1"/>
  </w:abstractNum>
  <w:abstractNum w:abstractNumId="3" w15:restartNumberingAfterBreak="0">
    <w:nsid w:val="3E4361C9"/>
    <w:multiLevelType w:val="hybridMultilevel"/>
    <w:tmpl w:val="311AFB78"/>
    <w:styleLink w:val="ImportedStyle1"/>
    <w:lvl w:ilvl="0" w:tplc="CE7E46A6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C06D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BB4EE3C">
      <w:start w:val="1"/>
      <w:numFmt w:val="lowerRoman"/>
      <w:lvlText w:val="%3."/>
      <w:lvlJc w:val="left"/>
      <w:pPr>
        <w:ind w:left="252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0D875BE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2BC34D8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2EE0D4E">
      <w:start w:val="1"/>
      <w:numFmt w:val="lowerRoman"/>
      <w:lvlText w:val="%6."/>
      <w:lvlJc w:val="left"/>
      <w:pPr>
        <w:ind w:left="468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4E8B3CC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180726C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60A5B6">
      <w:start w:val="1"/>
      <w:numFmt w:val="lowerRoman"/>
      <w:lvlText w:val="%9."/>
      <w:lvlJc w:val="left"/>
      <w:pPr>
        <w:ind w:left="684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62E70F33"/>
    <w:multiLevelType w:val="hybridMultilevel"/>
    <w:tmpl w:val="3D26658E"/>
    <w:numStyleLink w:val="ImportedStyle2"/>
  </w:abstractNum>
  <w:abstractNum w:abstractNumId="5" w15:restartNumberingAfterBreak="0">
    <w:nsid w:val="6DC62592"/>
    <w:multiLevelType w:val="hybridMultilevel"/>
    <w:tmpl w:val="32625954"/>
    <w:styleLink w:val="ImportedStyle10"/>
    <w:lvl w:ilvl="0" w:tplc="58D07D70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E8014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21686CE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BC84E00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3CC094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CA61CFA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DB07C14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563D54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63E6884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lvl w:ilvl="0" w:tplc="EAB01FF0">
        <w:start w:val="1"/>
        <w:numFmt w:val="lowerRoman"/>
        <w:lvlText w:val="%1)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63C944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9B4665E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B5261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6188C1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0922258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360AEC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04C4E9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646F2A4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3"/>
    <w:rsid w:val="0037039D"/>
    <w:rsid w:val="007664C3"/>
    <w:rsid w:val="00B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E370"/>
  <w15:docId w15:val="{7D56477D-DB9B-4A32-B74E-6605EDA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UY" w:eastAsia="es-U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  <w:suppressAutoHyphens/>
      <w:spacing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10">
    <w:name w:val="Imported Style 1.0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u w:val="single"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adb.org/es/acerca-de-nosotros/como-esta-organizado-el-banco-interamericano-de-desarrollo-,5998.html?open_accordion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2023-09-20T18:53:00Z</dcterms:created>
  <dcterms:modified xsi:type="dcterms:W3CDTF">2023-09-20T18:56:00Z</dcterms:modified>
</cp:coreProperties>
</file>